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77BA4" w14:textId="77777777" w:rsidR="008E6486" w:rsidRDefault="00E4364B">
      <w:pPr>
        <w:rPr>
          <w:sz w:val="24"/>
          <w:u w:val="single"/>
        </w:rPr>
      </w:pPr>
      <w:r w:rsidRPr="00E4364B">
        <w:rPr>
          <w:sz w:val="24"/>
          <w:u w:val="single"/>
        </w:rPr>
        <w:t xml:space="preserve">Cadre de mémoire technique : </w:t>
      </w:r>
      <w:bookmarkStart w:id="0" w:name="_GoBack"/>
      <w:bookmarkEnd w:id="0"/>
    </w:p>
    <w:p w14:paraId="7DCF14D9" w14:textId="72FB0428" w:rsidR="00E4364B" w:rsidRDefault="00E4364B" w:rsidP="00E4364B">
      <w:pPr>
        <w:jc w:val="both"/>
        <w:rPr>
          <w:sz w:val="24"/>
        </w:rPr>
      </w:pPr>
      <w:r>
        <w:rPr>
          <w:sz w:val="24"/>
        </w:rPr>
        <w:t>Le présent cadre de mémoire technique devra obligatoirement être intégralement complété par le candidat. Les informations données par le candidat permettront d’établir la notation des critères</w:t>
      </w:r>
      <w:r w:rsidR="00851245">
        <w:rPr>
          <w:sz w:val="24"/>
        </w:rPr>
        <w:t xml:space="preserve"> et sous-critères</w:t>
      </w:r>
      <w:r>
        <w:rPr>
          <w:sz w:val="24"/>
        </w:rPr>
        <w:t xml:space="preserve"> techniques définis dans le règlement </w:t>
      </w:r>
      <w:r w:rsidR="00784FA2">
        <w:rPr>
          <w:sz w:val="24"/>
        </w:rPr>
        <w:t xml:space="preserve">de consultation. Le </w:t>
      </w:r>
      <w:r>
        <w:rPr>
          <w:sz w:val="24"/>
        </w:rPr>
        <w:t xml:space="preserve">candidat </w:t>
      </w:r>
      <w:r w:rsidR="00784FA2">
        <w:rPr>
          <w:sz w:val="24"/>
        </w:rPr>
        <w:t xml:space="preserve">conserve </w:t>
      </w:r>
      <w:r>
        <w:rPr>
          <w:sz w:val="24"/>
        </w:rPr>
        <w:t>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3571" w:type="dxa"/>
        <w:jc w:val="center"/>
        <w:tblCellMar>
          <w:top w:w="57" w:type="dxa"/>
          <w:left w:w="57" w:type="dxa"/>
          <w:bottom w:w="57" w:type="dxa"/>
          <w:right w:w="57" w:type="dxa"/>
        </w:tblCellMar>
        <w:tblLook w:val="04A0" w:firstRow="1" w:lastRow="0" w:firstColumn="1" w:lastColumn="0" w:noHBand="0" w:noVBand="1"/>
      </w:tblPr>
      <w:tblGrid>
        <w:gridCol w:w="3584"/>
        <w:gridCol w:w="7294"/>
        <w:gridCol w:w="2693"/>
      </w:tblGrid>
      <w:tr w:rsidR="006C3454" w14:paraId="5DA5C2B7" w14:textId="77777777" w:rsidTr="00D409E2">
        <w:trPr>
          <w:trHeight w:val="923"/>
          <w:jc w:val="center"/>
        </w:trPr>
        <w:tc>
          <w:tcPr>
            <w:tcW w:w="3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FB39C" w14:textId="73154F2B" w:rsidR="006C3454" w:rsidRPr="00433FB3" w:rsidRDefault="00851245" w:rsidP="00433FB3">
            <w:pPr>
              <w:jc w:val="center"/>
              <w:rPr>
                <w:i/>
                <w:sz w:val="24"/>
              </w:rPr>
            </w:pPr>
            <w:r>
              <w:rPr>
                <w:i/>
                <w:sz w:val="24"/>
              </w:rPr>
              <w:t>Eléments du mémoire technique</w:t>
            </w:r>
          </w:p>
        </w:tc>
        <w:tc>
          <w:tcPr>
            <w:tcW w:w="7294" w:type="dxa"/>
            <w:shd w:val="clear" w:color="auto" w:fill="D9D9D9" w:themeFill="background1" w:themeFillShade="D9"/>
            <w:vAlign w:val="center"/>
          </w:tcPr>
          <w:p w14:paraId="3C849D15" w14:textId="77777777" w:rsidR="006C3454" w:rsidRPr="00433FB3" w:rsidRDefault="006C3454" w:rsidP="00433FB3">
            <w:pPr>
              <w:jc w:val="center"/>
              <w:rPr>
                <w:i/>
                <w:sz w:val="24"/>
              </w:rPr>
            </w:pPr>
            <w:r w:rsidRPr="00433FB3">
              <w:rPr>
                <w:i/>
                <w:sz w:val="24"/>
              </w:rPr>
              <w:t>Réponse du candidat</w:t>
            </w:r>
          </w:p>
        </w:tc>
        <w:tc>
          <w:tcPr>
            <w:tcW w:w="2693" w:type="dxa"/>
            <w:shd w:val="clear" w:color="auto" w:fill="D9D9D9" w:themeFill="background1" w:themeFillShade="D9"/>
            <w:vAlign w:val="center"/>
          </w:tcPr>
          <w:p w14:paraId="468B00AD" w14:textId="77777777" w:rsidR="006C3454" w:rsidRPr="00433FB3" w:rsidRDefault="006C3454" w:rsidP="00433FB3">
            <w:pPr>
              <w:jc w:val="center"/>
              <w:rPr>
                <w:i/>
                <w:sz w:val="24"/>
              </w:rPr>
            </w:pPr>
            <w:r w:rsidRPr="00433FB3">
              <w:rPr>
                <w:i/>
                <w:sz w:val="24"/>
              </w:rPr>
              <w:t>Page</w:t>
            </w:r>
            <w:r>
              <w:rPr>
                <w:i/>
                <w:sz w:val="24"/>
              </w:rPr>
              <w:t>s</w:t>
            </w:r>
            <w:r w:rsidRPr="00433FB3">
              <w:rPr>
                <w:i/>
                <w:sz w:val="24"/>
              </w:rPr>
              <w:t xml:space="preserve"> correspondante</w:t>
            </w:r>
            <w:r>
              <w:rPr>
                <w:i/>
                <w:sz w:val="24"/>
              </w:rPr>
              <w:t>s</w:t>
            </w:r>
            <w:r w:rsidRPr="00433FB3">
              <w:rPr>
                <w:i/>
                <w:sz w:val="24"/>
              </w:rPr>
              <w:t xml:space="preserve"> en cas de mémoire complémentaire</w:t>
            </w:r>
          </w:p>
        </w:tc>
      </w:tr>
      <w:tr w:rsidR="0031736B" w:rsidRPr="00433FB3" w14:paraId="4A7ADEC8" w14:textId="77777777" w:rsidTr="00D409E2">
        <w:trPr>
          <w:trHeight w:val="5102"/>
          <w:jc w:val="center"/>
        </w:trPr>
        <w:tc>
          <w:tcPr>
            <w:tcW w:w="3584" w:type="dxa"/>
            <w:tcBorders>
              <w:top w:val="single" w:sz="4" w:space="0" w:color="auto"/>
              <w:left w:val="single" w:sz="4" w:space="0" w:color="auto"/>
              <w:bottom w:val="single" w:sz="4" w:space="0" w:color="auto"/>
              <w:right w:val="single" w:sz="4" w:space="0" w:color="auto"/>
            </w:tcBorders>
            <w:vAlign w:val="center"/>
          </w:tcPr>
          <w:p w14:paraId="7D872231" w14:textId="2CD3D6A8" w:rsidR="007D2FBE" w:rsidRDefault="004D4DEE" w:rsidP="00D409E2">
            <w:pPr>
              <w:jc w:val="center"/>
              <w:rPr>
                <w:b/>
                <w:sz w:val="24"/>
                <w:u w:val="single"/>
              </w:rPr>
            </w:pPr>
            <w:r>
              <w:rPr>
                <w:b/>
                <w:sz w:val="24"/>
                <w:u w:val="single"/>
              </w:rPr>
              <w:t xml:space="preserve">1 – </w:t>
            </w:r>
            <w:r w:rsidR="00805F17">
              <w:rPr>
                <w:b/>
                <w:sz w:val="24"/>
                <w:u w:val="single"/>
              </w:rPr>
              <w:t>Adéquation d</w:t>
            </w:r>
            <w:r w:rsidR="0054640A">
              <w:rPr>
                <w:b/>
                <w:sz w:val="24"/>
                <w:u w:val="single"/>
              </w:rPr>
              <w:t xml:space="preserve">es moyens humains </w:t>
            </w:r>
            <w:r w:rsidR="00805F17">
              <w:rPr>
                <w:b/>
                <w:sz w:val="24"/>
                <w:u w:val="single"/>
              </w:rPr>
              <w:t>et matériels dédiés</w:t>
            </w:r>
            <w:r w:rsidR="0054640A">
              <w:rPr>
                <w:b/>
                <w:sz w:val="24"/>
                <w:u w:val="single"/>
              </w:rPr>
              <w:t xml:space="preserve"> </w:t>
            </w:r>
            <w:r w:rsidR="00805F17">
              <w:rPr>
                <w:b/>
                <w:sz w:val="24"/>
                <w:u w:val="single"/>
              </w:rPr>
              <w:t>aux</w:t>
            </w:r>
            <w:r w:rsidR="0054640A">
              <w:rPr>
                <w:b/>
                <w:sz w:val="24"/>
                <w:u w:val="single"/>
              </w:rPr>
              <w:t xml:space="preserve"> prestations</w:t>
            </w:r>
          </w:p>
          <w:p w14:paraId="63C52578" w14:textId="1D3B6202" w:rsidR="004F271C" w:rsidRDefault="004F271C" w:rsidP="00D409E2">
            <w:pPr>
              <w:jc w:val="center"/>
              <w:rPr>
                <w:b/>
                <w:sz w:val="24"/>
                <w:u w:val="single"/>
              </w:rPr>
            </w:pPr>
          </w:p>
          <w:p w14:paraId="664671EE" w14:textId="33CF3AF2" w:rsidR="00805F17" w:rsidRDefault="00805F17" w:rsidP="00805F17">
            <w:pPr>
              <w:ind w:right="80"/>
              <w:rPr>
                <w:rFonts w:eastAsia="Arial" w:cs="Arial"/>
              </w:rPr>
            </w:pPr>
            <w:r w:rsidRPr="00805F17">
              <w:rPr>
                <w:rFonts w:eastAsia="Arial" w:cs="Arial"/>
              </w:rPr>
              <w:t>- le nombre et la composition nominative de l’équipe dédiée (techniciens …) à la prestation accompagnée des CV présentant les compétences, les formations et expériences des techniciens ;</w:t>
            </w:r>
          </w:p>
          <w:p w14:paraId="3015311A" w14:textId="77777777" w:rsidR="00805F17" w:rsidRPr="00805F17" w:rsidRDefault="00805F17" w:rsidP="00805F17">
            <w:pPr>
              <w:ind w:right="80"/>
              <w:rPr>
                <w:rFonts w:eastAsia="Arial" w:cs="Arial"/>
              </w:rPr>
            </w:pPr>
          </w:p>
          <w:p w14:paraId="378DB784" w14:textId="38098E75" w:rsidR="00805F17" w:rsidRDefault="00805F17" w:rsidP="00805F17">
            <w:pPr>
              <w:ind w:right="80"/>
              <w:rPr>
                <w:rFonts w:eastAsia="Arial" w:cs="Arial"/>
              </w:rPr>
            </w:pPr>
            <w:r w:rsidRPr="00805F17">
              <w:rPr>
                <w:rFonts w:eastAsia="Arial" w:cs="Arial"/>
              </w:rPr>
              <w:t xml:space="preserve">- le nom et les coordonnées de l’interlocuteur dédié. </w:t>
            </w:r>
          </w:p>
          <w:p w14:paraId="61AAFA70" w14:textId="77777777" w:rsidR="00805F17" w:rsidRPr="00805F17" w:rsidRDefault="00805F17" w:rsidP="00805F17">
            <w:pPr>
              <w:ind w:right="80"/>
              <w:rPr>
                <w:rFonts w:eastAsia="Arial" w:cs="Arial"/>
              </w:rPr>
            </w:pPr>
          </w:p>
          <w:p w14:paraId="3C6D0BA3" w14:textId="11FB6F92" w:rsidR="007D2FBE" w:rsidRPr="00805F17" w:rsidRDefault="00805F17" w:rsidP="00805F17">
            <w:pPr>
              <w:rPr>
                <w:sz w:val="24"/>
              </w:rPr>
            </w:pPr>
            <w:r w:rsidRPr="00805F17">
              <w:rPr>
                <w:rFonts w:eastAsia="Arial" w:cs="Arial"/>
              </w:rPr>
              <w:t>- le matériel utilisé pour assurer l’exécution des prestations</w:t>
            </w:r>
            <w:r w:rsidRPr="00805F17">
              <w:rPr>
                <w:rFonts w:eastAsia="Arial" w:cs="Arial"/>
                <w:sz w:val="24"/>
              </w:rPr>
              <w:t xml:space="preserve"> </w:t>
            </w:r>
          </w:p>
          <w:p w14:paraId="39F0A69C" w14:textId="77777777" w:rsidR="007D2FBE" w:rsidRPr="007D2FBE" w:rsidRDefault="007D2FBE" w:rsidP="00D409E2">
            <w:pPr>
              <w:ind w:left="360"/>
              <w:jc w:val="center"/>
              <w:rPr>
                <w:b/>
                <w:sz w:val="24"/>
                <w:u w:val="single"/>
              </w:rPr>
            </w:pPr>
          </w:p>
          <w:p w14:paraId="6E3E5D06" w14:textId="1F430E23" w:rsidR="0031736B" w:rsidRPr="0031736B" w:rsidRDefault="0031736B" w:rsidP="0054640A">
            <w:pPr>
              <w:rPr>
                <w:b/>
                <w:sz w:val="24"/>
                <w:u w:val="single"/>
              </w:rPr>
            </w:pPr>
          </w:p>
        </w:tc>
        <w:tc>
          <w:tcPr>
            <w:tcW w:w="7294" w:type="dxa"/>
          </w:tcPr>
          <w:p w14:paraId="6983A9D6" w14:textId="77777777" w:rsidR="0031736B" w:rsidRPr="00433FB3" w:rsidRDefault="0031736B" w:rsidP="00433FB3">
            <w:pPr>
              <w:rPr>
                <w:sz w:val="24"/>
              </w:rPr>
            </w:pPr>
          </w:p>
        </w:tc>
        <w:tc>
          <w:tcPr>
            <w:tcW w:w="2693" w:type="dxa"/>
          </w:tcPr>
          <w:p w14:paraId="7B175DEA" w14:textId="77777777" w:rsidR="0031736B" w:rsidRPr="00433FB3" w:rsidRDefault="0031736B" w:rsidP="00433FB3">
            <w:pPr>
              <w:rPr>
                <w:sz w:val="24"/>
              </w:rPr>
            </w:pPr>
          </w:p>
        </w:tc>
      </w:tr>
      <w:tr w:rsidR="008B0812" w:rsidRPr="00433FB3" w14:paraId="2C091406" w14:textId="77777777" w:rsidTr="00D409E2">
        <w:trPr>
          <w:trHeight w:val="8438"/>
          <w:jc w:val="center"/>
        </w:trPr>
        <w:tc>
          <w:tcPr>
            <w:tcW w:w="3584" w:type="dxa"/>
            <w:tcBorders>
              <w:top w:val="dotted" w:sz="4" w:space="0" w:color="auto"/>
              <w:left w:val="single" w:sz="2" w:space="0" w:color="000000"/>
              <w:bottom w:val="dotted" w:sz="4" w:space="0" w:color="auto"/>
              <w:right w:val="single" w:sz="4" w:space="0" w:color="auto"/>
            </w:tcBorders>
            <w:vAlign w:val="center"/>
          </w:tcPr>
          <w:p w14:paraId="63B8BDDC" w14:textId="77569604" w:rsidR="004D4DEE" w:rsidRDefault="004D4DEE" w:rsidP="00805F17">
            <w:pPr>
              <w:rPr>
                <w:sz w:val="24"/>
              </w:rPr>
            </w:pPr>
          </w:p>
          <w:p w14:paraId="04DBB099" w14:textId="702C160F" w:rsidR="004D4DEE" w:rsidRPr="004D4DEE" w:rsidRDefault="00805F17" w:rsidP="00D409E2">
            <w:pPr>
              <w:jc w:val="center"/>
              <w:rPr>
                <w:b/>
                <w:sz w:val="24"/>
                <w:u w:val="single"/>
              </w:rPr>
            </w:pPr>
            <w:r>
              <w:rPr>
                <w:b/>
                <w:sz w:val="24"/>
                <w:u w:val="single"/>
              </w:rPr>
              <w:t>2</w:t>
            </w:r>
            <w:r w:rsidR="004D4DEE" w:rsidRPr="004D4DEE">
              <w:rPr>
                <w:b/>
                <w:sz w:val="24"/>
                <w:u w:val="single"/>
              </w:rPr>
              <w:t xml:space="preserve"> – </w:t>
            </w:r>
            <w:r w:rsidRPr="00805F17">
              <w:rPr>
                <w:b/>
                <w:sz w:val="24"/>
                <w:u w:val="single"/>
              </w:rPr>
              <w:t>Pertinence de la méthodologie d’intervention pour la maintenance préventive et la maintenance corrective et les commandes de pièces</w:t>
            </w:r>
          </w:p>
          <w:p w14:paraId="13EECBA1" w14:textId="77777777" w:rsidR="004D4DEE" w:rsidRDefault="004D4DEE" w:rsidP="00D409E2">
            <w:pPr>
              <w:jc w:val="center"/>
              <w:rPr>
                <w:sz w:val="24"/>
              </w:rPr>
            </w:pPr>
          </w:p>
          <w:p w14:paraId="164E4B1E" w14:textId="77777777" w:rsidR="00805F17" w:rsidRPr="00D80DD9" w:rsidRDefault="00805F17" w:rsidP="00805F17">
            <w:pPr>
              <w:ind w:left="80" w:right="80"/>
              <w:rPr>
                <w:rFonts w:eastAsia="Arial" w:cs="Arial"/>
              </w:rPr>
            </w:pPr>
            <w:r w:rsidRPr="00D80DD9">
              <w:rPr>
                <w:rFonts w:eastAsia="Arial" w:cs="Arial"/>
              </w:rPr>
              <w:t xml:space="preserve">- la méthodologie proposée pour réaliser les différentes prestations </w:t>
            </w:r>
            <w:r>
              <w:rPr>
                <w:rFonts w:eastAsia="Arial" w:cs="Arial"/>
              </w:rPr>
              <w:t>de l’accord-cadre</w:t>
            </w:r>
            <w:r w:rsidRPr="00D80DD9">
              <w:rPr>
                <w:rFonts w:eastAsia="Arial" w:cs="Arial"/>
              </w:rPr>
              <w:t>, et notamment :</w:t>
            </w:r>
          </w:p>
          <w:p w14:paraId="54A48C6C" w14:textId="77777777" w:rsidR="00805F17" w:rsidRPr="00D80DD9" w:rsidRDefault="00805F17" w:rsidP="00805F17">
            <w:pPr>
              <w:pStyle w:val="Paragraphedeliste"/>
              <w:widowControl w:val="0"/>
              <w:numPr>
                <w:ilvl w:val="0"/>
                <w:numId w:val="14"/>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préventive</w:t>
            </w:r>
            <w:r>
              <w:rPr>
                <w:rFonts w:eastAsia="Arial" w:cs="Arial"/>
              </w:rPr>
              <w:t xml:space="preserve"> (pour le lot n°5)</w:t>
            </w:r>
            <w:r w:rsidRPr="00D80DD9">
              <w:rPr>
                <w:rFonts w:eastAsia="Arial" w:cs="Arial"/>
              </w:rPr>
              <w:t>,</w:t>
            </w:r>
          </w:p>
          <w:p w14:paraId="47ABF2DC" w14:textId="77777777" w:rsidR="00805F17" w:rsidRPr="00D80DD9" w:rsidRDefault="00805F17" w:rsidP="00805F17">
            <w:pPr>
              <w:pStyle w:val="Paragraphedeliste"/>
              <w:widowControl w:val="0"/>
              <w:numPr>
                <w:ilvl w:val="0"/>
                <w:numId w:val="14"/>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corrective</w:t>
            </w:r>
            <w:r>
              <w:rPr>
                <w:rFonts w:eastAsia="Arial" w:cs="Arial"/>
              </w:rPr>
              <w:t xml:space="preserve"> (pour tous les lots)</w:t>
            </w:r>
            <w:r w:rsidRPr="00D80DD9">
              <w:rPr>
                <w:rFonts w:eastAsia="Arial" w:cs="Arial"/>
              </w:rPr>
              <w:t>.</w:t>
            </w:r>
          </w:p>
          <w:p w14:paraId="248908D4" w14:textId="1EB2CDDD" w:rsidR="00CD3359" w:rsidRDefault="00805F17" w:rsidP="00805F17">
            <w:pPr>
              <w:ind w:right="80"/>
              <w:jc w:val="center"/>
              <w:rPr>
                <w:rFonts w:eastAsia="Arial" w:cs="Arial"/>
              </w:rPr>
            </w:pPr>
            <w:r w:rsidRPr="00D80DD9">
              <w:rPr>
                <w:rFonts w:eastAsia="Arial" w:cs="Arial"/>
              </w:rPr>
              <w:t xml:space="preserve">- </w:t>
            </w:r>
            <w:r w:rsidR="00CD3359" w:rsidRPr="00574C6A">
              <w:rPr>
                <w:rFonts w:eastAsia="Arial" w:cs="Arial"/>
              </w:rPr>
              <w:t>les modalités de fourniture des pièces détachées (commande, fournisseurs</w:t>
            </w:r>
            <w:r w:rsidR="00CD3359">
              <w:rPr>
                <w:rFonts w:eastAsia="Arial" w:cs="Arial"/>
              </w:rPr>
              <w:t>, disponibilités des pièces détachées</w:t>
            </w:r>
            <w:r w:rsidR="00CD3359" w:rsidRPr="00574C6A">
              <w:rPr>
                <w:rFonts w:eastAsia="Arial" w:cs="Arial"/>
              </w:rPr>
              <w:t>).</w:t>
            </w:r>
          </w:p>
          <w:p w14:paraId="67544AE8" w14:textId="77777777" w:rsidR="00CD3359" w:rsidRDefault="00CD3359" w:rsidP="00805F17">
            <w:pPr>
              <w:ind w:right="80"/>
              <w:jc w:val="center"/>
              <w:rPr>
                <w:rFonts w:eastAsia="Arial" w:cs="Arial"/>
              </w:rPr>
            </w:pPr>
          </w:p>
          <w:p w14:paraId="23CC3B72" w14:textId="77777777" w:rsidR="00CD3359" w:rsidRDefault="00CD3359" w:rsidP="00805F17">
            <w:pPr>
              <w:ind w:right="80"/>
              <w:jc w:val="center"/>
              <w:rPr>
                <w:rFonts w:eastAsia="Arial" w:cs="Arial"/>
              </w:rPr>
            </w:pPr>
          </w:p>
          <w:p w14:paraId="4BE7117A" w14:textId="77777777" w:rsidR="00CD3359" w:rsidRDefault="00CD3359" w:rsidP="00805F17">
            <w:pPr>
              <w:ind w:right="80"/>
              <w:jc w:val="center"/>
              <w:rPr>
                <w:rFonts w:eastAsia="Arial" w:cs="Arial"/>
              </w:rPr>
            </w:pPr>
          </w:p>
          <w:p w14:paraId="7A965EBE" w14:textId="58418F32" w:rsidR="00CD3359" w:rsidRPr="004D4DEE" w:rsidRDefault="00CD3359" w:rsidP="00CD3359">
            <w:pPr>
              <w:jc w:val="center"/>
              <w:rPr>
                <w:b/>
                <w:sz w:val="24"/>
                <w:u w:val="single"/>
              </w:rPr>
            </w:pPr>
            <w:r>
              <w:rPr>
                <w:b/>
                <w:sz w:val="24"/>
                <w:u w:val="single"/>
              </w:rPr>
              <w:t>3</w:t>
            </w:r>
            <w:r w:rsidRPr="004D4DEE">
              <w:rPr>
                <w:b/>
                <w:sz w:val="24"/>
                <w:u w:val="single"/>
              </w:rPr>
              <w:t xml:space="preserve"> – </w:t>
            </w:r>
            <w:r w:rsidRPr="00CD3359">
              <w:rPr>
                <w:rFonts w:eastAsia="Arial" w:cs="Arial"/>
                <w:b/>
                <w:u w:val="single"/>
              </w:rPr>
              <w:t>Les extraits de catalogue des pièces détachées hors BPU en lien avec l’objet de l’accord-cadre accompagné des prix publics unitaires (accès vers un site internet, fichier Excel, PDF, …)</w:t>
            </w:r>
          </w:p>
          <w:p w14:paraId="75BD8EAA" w14:textId="77777777" w:rsidR="00CD3359" w:rsidRDefault="00CD3359" w:rsidP="00CD3359">
            <w:pPr>
              <w:jc w:val="center"/>
              <w:rPr>
                <w:sz w:val="24"/>
              </w:rPr>
            </w:pPr>
          </w:p>
          <w:p w14:paraId="17511E94" w14:textId="661F5C89" w:rsidR="00CD3359" w:rsidRPr="00B91853" w:rsidRDefault="00CD3359" w:rsidP="00CD3359">
            <w:pPr>
              <w:ind w:right="80"/>
              <w:jc w:val="center"/>
              <w:rPr>
                <w:sz w:val="24"/>
              </w:rPr>
            </w:pPr>
          </w:p>
        </w:tc>
        <w:tc>
          <w:tcPr>
            <w:tcW w:w="7294" w:type="dxa"/>
          </w:tcPr>
          <w:p w14:paraId="1E0EC37F" w14:textId="77777777" w:rsidR="008B0812" w:rsidRPr="00433FB3" w:rsidRDefault="008B0812" w:rsidP="008B0812">
            <w:pPr>
              <w:rPr>
                <w:sz w:val="24"/>
              </w:rPr>
            </w:pPr>
          </w:p>
        </w:tc>
        <w:tc>
          <w:tcPr>
            <w:tcW w:w="2693" w:type="dxa"/>
          </w:tcPr>
          <w:p w14:paraId="376EADAA" w14:textId="77777777" w:rsidR="008B0812" w:rsidRPr="00433FB3" w:rsidRDefault="008B0812" w:rsidP="008B0812">
            <w:pPr>
              <w:rPr>
                <w:sz w:val="24"/>
              </w:rPr>
            </w:pPr>
          </w:p>
        </w:tc>
      </w:tr>
    </w:tbl>
    <w:p w14:paraId="1C447D3C" w14:textId="77777777" w:rsidR="00E4364B" w:rsidRPr="00433FB3" w:rsidRDefault="00E4364B" w:rsidP="0031736B"/>
    <w:sectPr w:rsidR="00E4364B" w:rsidRPr="00433FB3"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C0CEB" w14:textId="77777777" w:rsidR="004D1486" w:rsidRDefault="004D1486" w:rsidP="00E4364B">
      <w:pPr>
        <w:spacing w:after="0" w:line="240" w:lineRule="auto"/>
      </w:pPr>
      <w:r>
        <w:separator/>
      </w:r>
    </w:p>
  </w:endnote>
  <w:endnote w:type="continuationSeparator" w:id="0">
    <w:p w14:paraId="3A3FC387" w14:textId="77777777" w:rsidR="004D1486" w:rsidRDefault="004D1486"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EC10" w14:textId="77777777" w:rsidR="00784FA2" w:rsidRDefault="00784FA2">
    <w:pPr>
      <w:pStyle w:val="Pieddepage"/>
    </w:pPr>
    <w:r>
      <w:rPr>
        <w:b/>
        <w:noProof/>
        <w:lang w:eastAsia="fr-FR"/>
      </w:rPr>
      <w:drawing>
        <wp:anchor distT="0" distB="0" distL="114300" distR="114300" simplePos="0" relativeHeight="251658240" behindDoc="0" locked="0" layoutInCell="1" allowOverlap="1" wp14:anchorId="5EEE4300" wp14:editId="758D3BC7">
          <wp:simplePos x="0" y="0"/>
          <wp:positionH relativeFrom="margin">
            <wp:posOffset>1434465</wp:posOffset>
          </wp:positionH>
          <wp:positionV relativeFrom="paragraph">
            <wp:posOffset>-38100</wp:posOffset>
          </wp:positionV>
          <wp:extent cx="5838190" cy="488950"/>
          <wp:effectExtent l="0" t="0" r="0" b="635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838190" cy="488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EA94E" w14:textId="77777777" w:rsidR="004D1486" w:rsidRDefault="004D1486" w:rsidP="00E4364B">
      <w:pPr>
        <w:spacing w:after="0" w:line="240" w:lineRule="auto"/>
      </w:pPr>
      <w:r>
        <w:separator/>
      </w:r>
    </w:p>
  </w:footnote>
  <w:footnote w:type="continuationSeparator" w:id="0">
    <w:p w14:paraId="55794C16" w14:textId="77777777" w:rsidR="004D1486" w:rsidRDefault="004D1486"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B96CB" w14:textId="5330F685" w:rsidR="004D4DEE" w:rsidRDefault="0054640A" w:rsidP="008B0812">
    <w:pPr>
      <w:pStyle w:val="En-tte"/>
      <w:jc w:val="center"/>
      <w:rPr>
        <w:rFonts w:eastAsia="Trebuchet MS" w:cs="Calibri"/>
        <w:b/>
        <w:color w:val="000000"/>
        <w:u w:val="single"/>
      </w:rPr>
    </w:pPr>
    <w:r>
      <w:rPr>
        <w:rFonts w:eastAsia="Trebuchet MS" w:cs="Calibri"/>
        <w:b/>
        <w:color w:val="000000"/>
        <w:u w:val="single"/>
      </w:rPr>
      <w:t xml:space="preserve">Maintenance </w:t>
    </w:r>
    <w:r w:rsidR="00805F17">
      <w:rPr>
        <w:rFonts w:eastAsia="Trebuchet MS" w:cs="Calibri"/>
        <w:b/>
        <w:color w:val="000000"/>
        <w:u w:val="single"/>
      </w:rPr>
      <w:t>des engins agricoles pour les établissements du GHT Somme Littoral Sud</w:t>
    </w:r>
    <w:r w:rsidR="00400E8D">
      <w:rPr>
        <w:rFonts w:eastAsia="Trebuchet MS" w:cs="Calibri"/>
        <w:b/>
        <w:color w:val="000000"/>
        <w:u w:val="single"/>
      </w:rPr>
      <w:t xml:space="preserve"> - Relance</w:t>
    </w:r>
  </w:p>
  <w:p w14:paraId="359B6732" w14:textId="064F90E4" w:rsidR="00784FA2" w:rsidRPr="00E4364B" w:rsidRDefault="00784FA2" w:rsidP="008B0812">
    <w:pPr>
      <w:pStyle w:val="En-tte"/>
      <w:jc w:val="center"/>
      <w:rPr>
        <w:b/>
      </w:rPr>
    </w:pPr>
    <w:r>
      <w:rPr>
        <w:b/>
      </w:rPr>
      <w:t xml:space="preserve">Dossier N° </w:t>
    </w:r>
    <w:r w:rsidR="00400E8D">
      <w:rPr>
        <w:b/>
      </w:rPr>
      <w:t>25</w:t>
    </w:r>
    <w:r w:rsidR="00805F17">
      <w:rPr>
        <w:b/>
      </w:rPr>
      <w:t>TE0</w:t>
    </w:r>
    <w:r w:rsidR="00400E8D">
      <w:rPr>
        <w:b/>
      </w:rPr>
      <w:t>037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8127A1"/>
    <w:multiLevelType w:val="hybridMultilevel"/>
    <w:tmpl w:val="2EBA0C96"/>
    <w:lvl w:ilvl="0" w:tplc="EEB88CC0">
      <w:start w:val="1"/>
      <w:numFmt w:val="lowerLetter"/>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2" w15:restartNumberingAfterBreak="0">
    <w:nsid w:val="0CA553BF"/>
    <w:multiLevelType w:val="hybridMultilevel"/>
    <w:tmpl w:val="4D681634"/>
    <w:lvl w:ilvl="0" w:tplc="8C2CE9DC">
      <w:start w:val="3"/>
      <w:numFmt w:val="bullet"/>
      <w:lvlText w:val="-"/>
      <w:lvlJc w:val="left"/>
      <w:pPr>
        <w:ind w:left="720" w:hanging="360"/>
      </w:pPr>
      <w:rPr>
        <w:rFonts w:ascii="Calibri" w:eastAsia="Arial"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D593846"/>
    <w:multiLevelType w:val="hybridMultilevel"/>
    <w:tmpl w:val="35743128"/>
    <w:lvl w:ilvl="0" w:tplc="040C0001">
      <w:start w:val="1"/>
      <w:numFmt w:val="bullet"/>
      <w:lvlText w:val=""/>
      <w:lvlJc w:val="left"/>
      <w:pPr>
        <w:ind w:left="912" w:hanging="360"/>
      </w:pPr>
      <w:rPr>
        <w:rFonts w:ascii="Symbol" w:hAnsi="Symbol" w:hint="default"/>
      </w:rPr>
    </w:lvl>
    <w:lvl w:ilvl="1" w:tplc="040C0003" w:tentative="1">
      <w:start w:val="1"/>
      <w:numFmt w:val="bullet"/>
      <w:lvlText w:val="o"/>
      <w:lvlJc w:val="left"/>
      <w:pPr>
        <w:ind w:left="1632" w:hanging="360"/>
      </w:pPr>
      <w:rPr>
        <w:rFonts w:ascii="Courier New" w:hAnsi="Courier New" w:cs="Courier New" w:hint="default"/>
      </w:rPr>
    </w:lvl>
    <w:lvl w:ilvl="2" w:tplc="040C0005" w:tentative="1">
      <w:start w:val="1"/>
      <w:numFmt w:val="bullet"/>
      <w:lvlText w:val=""/>
      <w:lvlJc w:val="left"/>
      <w:pPr>
        <w:ind w:left="2352" w:hanging="360"/>
      </w:pPr>
      <w:rPr>
        <w:rFonts w:ascii="Wingdings" w:hAnsi="Wingdings" w:hint="default"/>
      </w:rPr>
    </w:lvl>
    <w:lvl w:ilvl="3" w:tplc="040C0001" w:tentative="1">
      <w:start w:val="1"/>
      <w:numFmt w:val="bullet"/>
      <w:lvlText w:val=""/>
      <w:lvlJc w:val="left"/>
      <w:pPr>
        <w:ind w:left="3072" w:hanging="360"/>
      </w:pPr>
      <w:rPr>
        <w:rFonts w:ascii="Symbol" w:hAnsi="Symbol" w:hint="default"/>
      </w:rPr>
    </w:lvl>
    <w:lvl w:ilvl="4" w:tplc="040C0003" w:tentative="1">
      <w:start w:val="1"/>
      <w:numFmt w:val="bullet"/>
      <w:lvlText w:val="o"/>
      <w:lvlJc w:val="left"/>
      <w:pPr>
        <w:ind w:left="3792" w:hanging="360"/>
      </w:pPr>
      <w:rPr>
        <w:rFonts w:ascii="Courier New" w:hAnsi="Courier New" w:cs="Courier New" w:hint="default"/>
      </w:rPr>
    </w:lvl>
    <w:lvl w:ilvl="5" w:tplc="040C0005" w:tentative="1">
      <w:start w:val="1"/>
      <w:numFmt w:val="bullet"/>
      <w:lvlText w:val=""/>
      <w:lvlJc w:val="left"/>
      <w:pPr>
        <w:ind w:left="4512" w:hanging="360"/>
      </w:pPr>
      <w:rPr>
        <w:rFonts w:ascii="Wingdings" w:hAnsi="Wingdings" w:hint="default"/>
      </w:rPr>
    </w:lvl>
    <w:lvl w:ilvl="6" w:tplc="040C0001" w:tentative="1">
      <w:start w:val="1"/>
      <w:numFmt w:val="bullet"/>
      <w:lvlText w:val=""/>
      <w:lvlJc w:val="left"/>
      <w:pPr>
        <w:ind w:left="5232" w:hanging="360"/>
      </w:pPr>
      <w:rPr>
        <w:rFonts w:ascii="Symbol" w:hAnsi="Symbol" w:hint="default"/>
      </w:rPr>
    </w:lvl>
    <w:lvl w:ilvl="7" w:tplc="040C0003" w:tentative="1">
      <w:start w:val="1"/>
      <w:numFmt w:val="bullet"/>
      <w:lvlText w:val="o"/>
      <w:lvlJc w:val="left"/>
      <w:pPr>
        <w:ind w:left="5952" w:hanging="360"/>
      </w:pPr>
      <w:rPr>
        <w:rFonts w:ascii="Courier New" w:hAnsi="Courier New" w:cs="Courier New" w:hint="default"/>
      </w:rPr>
    </w:lvl>
    <w:lvl w:ilvl="8" w:tplc="040C0005" w:tentative="1">
      <w:start w:val="1"/>
      <w:numFmt w:val="bullet"/>
      <w:lvlText w:val=""/>
      <w:lvlJc w:val="left"/>
      <w:pPr>
        <w:ind w:left="6672" w:hanging="360"/>
      </w:pPr>
      <w:rPr>
        <w:rFonts w:ascii="Wingdings" w:hAnsi="Wingdings" w:hint="default"/>
      </w:rPr>
    </w:lvl>
  </w:abstractNum>
  <w:abstractNum w:abstractNumId="10"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8749E7"/>
    <w:multiLevelType w:val="hybridMultilevel"/>
    <w:tmpl w:val="B17A3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4"/>
  </w:num>
  <w:num w:numId="4">
    <w:abstractNumId w:val="3"/>
  </w:num>
  <w:num w:numId="5">
    <w:abstractNumId w:val="6"/>
  </w:num>
  <w:num w:numId="6">
    <w:abstractNumId w:val="10"/>
  </w:num>
  <w:num w:numId="7">
    <w:abstractNumId w:val="7"/>
  </w:num>
  <w:num w:numId="8">
    <w:abstractNumId w:val="8"/>
  </w:num>
  <w:num w:numId="9">
    <w:abstractNumId w:val="11"/>
  </w:num>
  <w:num w:numId="10">
    <w:abstractNumId w:val="5"/>
  </w:num>
  <w:num w:numId="11">
    <w:abstractNumId w:val="1"/>
  </w:num>
  <w:num w:numId="12">
    <w:abstractNumId w:val="2"/>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51EE4"/>
    <w:rsid w:val="001C138E"/>
    <w:rsid w:val="00251017"/>
    <w:rsid w:val="002945CA"/>
    <w:rsid w:val="002F61A5"/>
    <w:rsid w:val="0031736B"/>
    <w:rsid w:val="00400E8D"/>
    <w:rsid w:val="00430402"/>
    <w:rsid w:val="00433FB3"/>
    <w:rsid w:val="004D1486"/>
    <w:rsid w:val="004D4DEE"/>
    <w:rsid w:val="004F271C"/>
    <w:rsid w:val="0054640A"/>
    <w:rsid w:val="005C7F83"/>
    <w:rsid w:val="0067634D"/>
    <w:rsid w:val="006C3454"/>
    <w:rsid w:val="00784FA2"/>
    <w:rsid w:val="007D2FBE"/>
    <w:rsid w:val="007F601C"/>
    <w:rsid w:val="00805F17"/>
    <w:rsid w:val="00851245"/>
    <w:rsid w:val="008B0812"/>
    <w:rsid w:val="008E6486"/>
    <w:rsid w:val="00926A98"/>
    <w:rsid w:val="00975DDF"/>
    <w:rsid w:val="00987A86"/>
    <w:rsid w:val="009D0F66"/>
    <w:rsid w:val="00A261F0"/>
    <w:rsid w:val="00B34224"/>
    <w:rsid w:val="00B91853"/>
    <w:rsid w:val="00B922CC"/>
    <w:rsid w:val="00C13446"/>
    <w:rsid w:val="00C41665"/>
    <w:rsid w:val="00C940D1"/>
    <w:rsid w:val="00CB7246"/>
    <w:rsid w:val="00CD3359"/>
    <w:rsid w:val="00D354A0"/>
    <w:rsid w:val="00D409E2"/>
    <w:rsid w:val="00D574FF"/>
    <w:rsid w:val="00D863D3"/>
    <w:rsid w:val="00DA6E52"/>
    <w:rsid w:val="00E31F07"/>
    <w:rsid w:val="00E4364B"/>
    <w:rsid w:val="00ED52B1"/>
    <w:rsid w:val="00F25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30402"/>
    <w:pPr>
      <w:ind w:left="720"/>
      <w:contextualSpacing/>
    </w:pPr>
  </w:style>
  <w:style w:type="character" w:styleId="Marquedecommentaire">
    <w:name w:val="annotation reference"/>
    <w:basedOn w:val="Policepardfaut"/>
    <w:uiPriority w:val="99"/>
    <w:semiHidden/>
    <w:unhideWhenUsed/>
    <w:rsid w:val="002F61A5"/>
    <w:rPr>
      <w:sz w:val="16"/>
      <w:szCs w:val="16"/>
    </w:rPr>
  </w:style>
  <w:style w:type="paragraph" w:styleId="Commentaire">
    <w:name w:val="annotation text"/>
    <w:basedOn w:val="Normal"/>
    <w:link w:val="CommentaireCar"/>
    <w:uiPriority w:val="99"/>
    <w:semiHidden/>
    <w:unhideWhenUsed/>
    <w:rsid w:val="002F61A5"/>
    <w:pPr>
      <w:spacing w:line="240" w:lineRule="auto"/>
    </w:pPr>
    <w:rPr>
      <w:sz w:val="20"/>
      <w:szCs w:val="20"/>
    </w:rPr>
  </w:style>
  <w:style w:type="character" w:customStyle="1" w:styleId="CommentaireCar">
    <w:name w:val="Commentaire Car"/>
    <w:basedOn w:val="Policepardfaut"/>
    <w:link w:val="Commentaire"/>
    <w:uiPriority w:val="99"/>
    <w:semiHidden/>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258</Words>
  <Characters>1421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Meranger Francois</cp:lastModifiedBy>
  <cp:revision>11</cp:revision>
  <dcterms:created xsi:type="dcterms:W3CDTF">2024-06-12T14:56:00Z</dcterms:created>
  <dcterms:modified xsi:type="dcterms:W3CDTF">2025-06-17T14:39:00Z</dcterms:modified>
</cp:coreProperties>
</file>